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sz w:val="28"/>
        </w:rPr>
        <w:t>LISTA DE CHEQUEO DEL REGLAMENTO DE PROPIEDAD HORIZONTAL</w:t>
      </w:r>
    </w:p>
    <w:p>
      <w:pPr>
        <w:spacing w:after="120"/>
      </w:pPr>
      <w:r>
        <w:rPr>
          <w:b w:val="0"/>
          <w:i w:val="0"/>
        </w:rPr>
        <w:t>Sirve para revisar si el reglamento de tu edificio o conjunto tiene lo que pide la Ley 675 de 2001. Ten a mano la escritura pública del reglamento y sus reformas. En cada renglón marca Sí, No o Revisar, y anota en qué capítulo o artículo del reglamento está.</w:t>
      </w:r>
    </w:p>
    <w:p>
      <w:pPr>
        <w:spacing w:after="160"/>
      </w:pPr>
      <w:r>
        <w:rPr>
          <w:b w:val="0"/>
          <w:i/>
          <w:sz w:val="18"/>
        </w:rPr>
        <w:t>Es información general basada en el texto de la Ley 675 de 2001 (Secretaría del Senado). No reemplaza la revisión de un abogado. No es un modelo de reglamento.</w:t>
      </w:r>
    </w:p>
    <w:p>
      <w:pPr>
        <w:spacing w:after="40"/>
      </w:pPr>
      <w:r>
        <w:rPr>
          <w:b/>
          <w:i w:val="0"/>
          <w:color w:val="4B2E83"/>
          <w:sz w:val="22"/>
        </w:rPr>
        <w:t>1. Datos de la copropiedad</w:t>
      </w:r>
    </w:p>
    <w:tbl>
      <w:tblPr>
        <w:tblStyle w:val="TableGrid"/>
        <w:tblW w:type="auto" w:w="0"/>
        <w:tblLook w:firstColumn="1" w:firstRow="1" w:lastColumn="0" w:lastRow="0" w:noHBand="0" w:noVBand="1" w:val="04A0"/>
      </w:tblPr>
      <w:tblGrid>
        <w:gridCol w:w="2550"/>
        <w:gridCol w:w="2550"/>
        <w:gridCol w:w="2550"/>
        <w:gridCol w:w="2550"/>
      </w:tblGrid>
      <w:tr>
        <w:tc>
          <w:tcPr>
            <w:tcW w:type="dxa" w:w="2736"/>
          </w:tcPr>
          <w:p>
            <w:r/>
            <w:r>
              <w:rPr>
                <w:b/>
                <w:sz w:val="18"/>
              </w:rPr>
              <w:t>Dato</w:t>
            </w:r>
          </w:p>
        </w:tc>
        <w:tc>
          <w:tcPr>
            <w:tcW w:type="dxa" w:w="2160"/>
          </w:tcPr>
          <w:p>
            <w:r/>
            <w:r>
              <w:rPr>
                <w:b/>
                <w:sz w:val="18"/>
              </w:rPr>
              <w:t>Respuesta</w:t>
            </w:r>
          </w:p>
        </w:tc>
        <w:tc>
          <w:tcPr>
            <w:tcW w:type="dxa" w:w="2736"/>
          </w:tcPr>
          <w:p>
            <w:r/>
            <w:r>
              <w:rPr>
                <w:b/>
                <w:sz w:val="18"/>
              </w:rPr>
              <w:t>Dato</w:t>
            </w:r>
          </w:p>
        </w:tc>
        <w:tc>
          <w:tcPr>
            <w:tcW w:type="dxa" w:w="2160"/>
          </w:tcPr>
          <w:p>
            <w:r/>
            <w:r>
              <w:rPr>
                <w:b/>
                <w:sz w:val="18"/>
              </w:rPr>
              <w:t>Respuesta</w:t>
            </w:r>
          </w:p>
        </w:tc>
      </w:tr>
      <w:tr>
        <w:tc>
          <w:tcPr>
            <w:tcW w:type="dxa" w:w="2736"/>
          </w:tcPr>
          <w:p>
            <w:r/>
            <w:r>
              <w:rPr>
                <w:sz w:val="18"/>
              </w:rPr>
              <w:t>Nombre del edificio o conjunto</w:t>
            </w:r>
          </w:p>
        </w:tc>
        <w:tc>
          <w:tcPr>
            <w:tcW w:type="dxa" w:w="2160"/>
          </w:tcPr>
          <w:p>
            <w:r/>
            <w:r>
              <w:rPr>
                <w:sz w:val="18"/>
              </w:rPr>
            </w:r>
          </w:p>
        </w:tc>
        <w:tc>
          <w:tcPr>
            <w:tcW w:type="dxa" w:w="2736"/>
          </w:tcPr>
          <w:p>
            <w:r/>
            <w:r>
              <w:rPr>
                <w:sz w:val="18"/>
              </w:rPr>
              <w:t>Uso (residencial, comercial, mixto)</w:t>
            </w:r>
          </w:p>
        </w:tc>
        <w:tc>
          <w:tcPr>
            <w:tcW w:type="dxa" w:w="2160"/>
          </w:tcPr>
          <w:p>
            <w:r/>
            <w:r>
              <w:rPr>
                <w:sz w:val="18"/>
              </w:rPr>
            </w:r>
          </w:p>
        </w:tc>
      </w:tr>
      <w:tr>
        <w:tc>
          <w:tcPr>
            <w:tcW w:type="dxa" w:w="2736"/>
          </w:tcPr>
          <w:p>
            <w:r/>
            <w:r>
              <w:rPr>
                <w:sz w:val="18"/>
              </w:rPr>
              <w:t>Escritura del reglamento (número)</w:t>
            </w:r>
          </w:p>
        </w:tc>
        <w:tc>
          <w:tcPr>
            <w:tcW w:type="dxa" w:w="2160"/>
          </w:tcPr>
          <w:p>
            <w:r/>
            <w:r>
              <w:rPr>
                <w:sz w:val="18"/>
              </w:rPr>
            </w:r>
          </w:p>
        </w:tc>
        <w:tc>
          <w:tcPr>
            <w:tcW w:type="dxa" w:w="2736"/>
          </w:tcPr>
          <w:p>
            <w:r/>
            <w:r>
              <w:rPr>
                <w:sz w:val="18"/>
              </w:rPr>
              <w:t>Notaría y fecha</w:t>
            </w:r>
          </w:p>
        </w:tc>
        <w:tc>
          <w:tcPr>
            <w:tcW w:type="dxa" w:w="2160"/>
          </w:tcPr>
          <w:p>
            <w:r/>
            <w:r>
              <w:rPr>
                <w:sz w:val="18"/>
              </w:rPr>
            </w:r>
          </w:p>
        </w:tc>
      </w:tr>
      <w:tr>
        <w:tc>
          <w:tcPr>
            <w:tcW w:type="dxa" w:w="2736"/>
          </w:tcPr>
          <w:p>
            <w:r/>
            <w:r>
              <w:rPr>
                <w:sz w:val="18"/>
              </w:rPr>
              <w:t>Matrícula inmobiliaria del lote</w:t>
            </w:r>
          </w:p>
        </w:tc>
        <w:tc>
          <w:tcPr>
            <w:tcW w:type="dxa" w:w="2160"/>
          </w:tcPr>
          <w:p>
            <w:r/>
            <w:r>
              <w:rPr>
                <w:sz w:val="18"/>
              </w:rPr>
            </w:r>
          </w:p>
        </w:tc>
        <w:tc>
          <w:tcPr>
            <w:tcW w:type="dxa" w:w="2736"/>
          </w:tcPr>
          <w:p>
            <w:r/>
            <w:r>
              <w:rPr>
                <w:sz w:val="18"/>
              </w:rPr>
              <w:t>Última reforma (escritura y fecha)</w:t>
            </w:r>
          </w:p>
        </w:tc>
        <w:tc>
          <w:tcPr>
            <w:tcW w:type="dxa" w:w="2160"/>
          </w:tcPr>
          <w:p>
            <w:r/>
            <w:r>
              <w:rPr>
                <w:sz w:val="18"/>
              </w:rPr>
            </w:r>
          </w:p>
        </w:tc>
      </w:tr>
      <w:tr>
        <w:tc>
          <w:tcPr>
            <w:tcW w:type="dxa" w:w="2736"/>
          </w:tcPr>
          <w:p>
            <w:r/>
            <w:r>
              <w:rPr>
                <w:sz w:val="18"/>
              </w:rPr>
              <w:t>Número de unidades privadas</w:t>
            </w:r>
          </w:p>
        </w:tc>
        <w:tc>
          <w:tcPr>
            <w:tcW w:type="dxa" w:w="2160"/>
          </w:tcPr>
          <w:p>
            <w:r/>
            <w:r>
              <w:rPr>
                <w:sz w:val="18"/>
              </w:rPr>
            </w:r>
          </w:p>
        </w:tc>
        <w:tc>
          <w:tcPr>
            <w:tcW w:type="dxa" w:w="2736"/>
          </w:tcPr>
          <w:p>
            <w:r/>
            <w:r>
              <w:rPr>
                <w:sz w:val="18"/>
              </w:rPr>
              <w:t>Revisó (nombre y fecha)</w:t>
            </w:r>
          </w:p>
        </w:tc>
        <w:tc>
          <w:tcPr>
            <w:tcW w:type="dxa" w:w="2160"/>
          </w:tcPr>
          <w:p>
            <w:r/>
            <w:r>
              <w:rPr>
                <w:sz w:val="18"/>
              </w:rPr>
            </w:r>
          </w:p>
        </w:tc>
      </w:tr>
    </w:tbl>
    <w:p>
      <w:pPr>
        <w:spacing w:after="40"/>
      </w:pPr>
    </w:p>
    <w:p>
      <w:pPr>
        <w:spacing w:after="40"/>
      </w:pPr>
      <w:r>
        <w:rPr>
          <w:b/>
          <w:i w:val="0"/>
          <w:color w:val="4B2E83"/>
          <w:sz w:val="22"/>
        </w:rPr>
        <w:t>2. Contenido mínimo que exige la ley (artículo 5)</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432"/>
          </w:tcPr>
          <w:p>
            <w:r/>
            <w:r>
              <w:rPr>
                <w:b/>
                <w:sz w:val="18"/>
              </w:rPr>
              <w:t>#</w:t>
            </w:r>
          </w:p>
        </w:tc>
        <w:tc>
          <w:tcPr>
            <w:tcW w:type="dxa" w:w="4464"/>
          </w:tcPr>
          <w:p>
            <w:r/>
            <w:r>
              <w:rPr>
                <w:b/>
                <w:sz w:val="18"/>
              </w:rPr>
              <w:t>Qué debe tener</w:t>
            </w:r>
          </w:p>
        </w:tc>
        <w:tc>
          <w:tcPr>
            <w:tcW w:type="dxa" w:w="1296"/>
          </w:tcPr>
          <w:p>
            <w:r/>
            <w:r>
              <w:rPr>
                <w:b/>
                <w:sz w:val="18"/>
              </w:rPr>
              <w:t>Artículo</w:t>
            </w:r>
          </w:p>
        </w:tc>
        <w:tc>
          <w:tcPr>
            <w:tcW w:type="dxa" w:w="1440"/>
          </w:tcPr>
          <w:p>
            <w:r/>
            <w:r>
              <w:rPr>
                <w:b/>
                <w:sz w:val="18"/>
              </w:rPr>
              <w:t>Sí / No / Revisar</w:t>
            </w:r>
          </w:p>
        </w:tc>
        <w:tc>
          <w:tcPr>
            <w:tcW w:type="dxa" w:w="2160"/>
          </w:tcPr>
          <w:p>
            <w:r/>
            <w:r>
              <w:rPr>
                <w:b/>
                <w:sz w:val="18"/>
              </w:rPr>
              <w:t>Dónde está en el reglamento</w:t>
            </w:r>
          </w:p>
        </w:tc>
      </w:tr>
      <w:tr>
        <w:tc>
          <w:tcPr>
            <w:tcW w:type="dxa" w:w="432"/>
          </w:tcPr>
          <w:p>
            <w:r/>
            <w:r>
              <w:rPr>
                <w:sz w:val="18"/>
              </w:rPr>
              <w:t>1</w:t>
            </w:r>
          </w:p>
        </w:tc>
        <w:tc>
          <w:tcPr>
            <w:tcW w:type="dxa" w:w="4464"/>
          </w:tcPr>
          <w:p>
            <w:r/>
            <w:r>
              <w:rPr>
                <w:sz w:val="18"/>
              </w:rPr>
              <w:t>Nombre e identificación del propietario (quien sometió el inmueble al régimen)</w:t>
            </w:r>
          </w:p>
        </w:tc>
        <w:tc>
          <w:tcPr>
            <w:tcW w:type="dxa" w:w="1296"/>
          </w:tcPr>
          <w:p>
            <w:r/>
            <w:r>
              <w:rPr>
                <w:sz w:val="18"/>
              </w:rPr>
              <w:t>Art. 5, num. 1</w:t>
            </w:r>
          </w:p>
        </w:tc>
        <w:tc>
          <w:tcPr>
            <w:tcW w:type="dxa" w:w="1440"/>
          </w:tcPr>
          <w:p>
            <w:r/>
            <w:r>
              <w:rPr>
                <w:sz w:val="18"/>
              </w:rPr>
            </w:r>
          </w:p>
        </w:tc>
        <w:tc>
          <w:tcPr>
            <w:tcW w:type="dxa" w:w="2160"/>
          </w:tcPr>
          <w:p>
            <w:r/>
            <w:r>
              <w:rPr>
                <w:sz w:val="18"/>
              </w:rPr>
            </w:r>
          </w:p>
        </w:tc>
      </w:tr>
      <w:tr>
        <w:tc>
          <w:tcPr>
            <w:tcW w:type="dxa" w:w="432"/>
          </w:tcPr>
          <w:p>
            <w:r/>
            <w:r>
              <w:rPr>
                <w:sz w:val="18"/>
              </w:rPr>
              <w:t>2</w:t>
            </w:r>
          </w:p>
        </w:tc>
        <w:tc>
          <w:tcPr>
            <w:tcW w:type="dxa" w:w="4464"/>
          </w:tcPr>
          <w:p>
            <w:r/>
            <w:r>
              <w:rPr>
                <w:sz w:val="18"/>
              </w:rPr>
              <w:t>Nombre distintivo del edificio o conjunto</w:t>
            </w:r>
          </w:p>
        </w:tc>
        <w:tc>
          <w:tcPr>
            <w:tcW w:type="dxa" w:w="1296"/>
          </w:tcPr>
          <w:p>
            <w:r/>
            <w:r>
              <w:rPr>
                <w:sz w:val="18"/>
              </w:rPr>
              <w:t>Art. 5, num. 2</w:t>
            </w:r>
          </w:p>
        </w:tc>
        <w:tc>
          <w:tcPr>
            <w:tcW w:type="dxa" w:w="1440"/>
          </w:tcPr>
          <w:p>
            <w:r/>
            <w:r>
              <w:rPr>
                <w:sz w:val="18"/>
              </w:rPr>
            </w:r>
          </w:p>
        </w:tc>
        <w:tc>
          <w:tcPr>
            <w:tcW w:type="dxa" w:w="2160"/>
          </w:tcPr>
          <w:p>
            <w:r/>
            <w:r>
              <w:rPr>
                <w:sz w:val="18"/>
              </w:rPr>
            </w:r>
          </w:p>
        </w:tc>
      </w:tr>
      <w:tr>
        <w:tc>
          <w:tcPr>
            <w:tcW w:type="dxa" w:w="432"/>
          </w:tcPr>
          <w:p>
            <w:r/>
            <w:r>
              <w:rPr>
                <w:sz w:val="18"/>
              </w:rPr>
              <w:t>3</w:t>
            </w:r>
          </w:p>
        </w:tc>
        <w:tc>
          <w:tcPr>
            <w:tcW w:type="dxa" w:w="4464"/>
          </w:tcPr>
          <w:p>
            <w:r/>
            <w:r>
              <w:rPr>
                <w:sz w:val="18"/>
              </w:rPr>
              <w:t>Terreno: nomenclatura, área, linderos, títulos de adquisición y folios de matrícula inmobiliaria</w:t>
            </w:r>
          </w:p>
        </w:tc>
        <w:tc>
          <w:tcPr>
            <w:tcW w:type="dxa" w:w="1296"/>
          </w:tcPr>
          <w:p>
            <w:r/>
            <w:r>
              <w:rPr>
                <w:sz w:val="18"/>
              </w:rPr>
              <w:t>Art. 5, num. 3</w:t>
            </w:r>
          </w:p>
        </w:tc>
        <w:tc>
          <w:tcPr>
            <w:tcW w:type="dxa" w:w="1440"/>
          </w:tcPr>
          <w:p>
            <w:r/>
            <w:r>
              <w:rPr>
                <w:sz w:val="18"/>
              </w:rPr>
            </w:r>
          </w:p>
        </w:tc>
        <w:tc>
          <w:tcPr>
            <w:tcW w:type="dxa" w:w="2160"/>
          </w:tcPr>
          <w:p>
            <w:r/>
            <w:r>
              <w:rPr>
                <w:sz w:val="18"/>
              </w:rPr>
            </w:r>
          </w:p>
        </w:tc>
      </w:tr>
      <w:tr>
        <w:tc>
          <w:tcPr>
            <w:tcW w:type="dxa" w:w="432"/>
          </w:tcPr>
          <w:p>
            <w:r/>
            <w:r>
              <w:rPr>
                <w:sz w:val="18"/>
              </w:rPr>
              <w:t>4</w:t>
            </w:r>
          </w:p>
        </w:tc>
        <w:tc>
          <w:tcPr>
            <w:tcW w:type="dxa" w:w="4464"/>
          </w:tcPr>
          <w:p>
            <w:r/>
            <w:r>
              <w:rPr>
                <w:sz w:val="18"/>
              </w:rPr>
              <w:t>Identificación de cada bien privado según los planos aprobados por Planeación</w:t>
            </w:r>
          </w:p>
        </w:tc>
        <w:tc>
          <w:tcPr>
            <w:tcW w:type="dxa" w:w="1296"/>
          </w:tcPr>
          <w:p>
            <w:r/>
            <w:r>
              <w:rPr>
                <w:sz w:val="18"/>
              </w:rPr>
              <w:t>Art. 5, num. 4 y art. 16</w:t>
            </w:r>
          </w:p>
        </w:tc>
        <w:tc>
          <w:tcPr>
            <w:tcW w:type="dxa" w:w="1440"/>
          </w:tcPr>
          <w:p>
            <w:r/>
            <w:r>
              <w:rPr>
                <w:sz w:val="18"/>
              </w:rPr>
            </w:r>
          </w:p>
        </w:tc>
        <w:tc>
          <w:tcPr>
            <w:tcW w:type="dxa" w:w="2160"/>
          </w:tcPr>
          <w:p>
            <w:r/>
            <w:r>
              <w:rPr>
                <w:sz w:val="18"/>
              </w:rPr>
            </w:r>
          </w:p>
        </w:tc>
      </w:tr>
      <w:tr>
        <w:tc>
          <w:tcPr>
            <w:tcW w:type="dxa" w:w="432"/>
          </w:tcPr>
          <w:p>
            <w:r/>
            <w:r>
              <w:rPr>
                <w:sz w:val="18"/>
              </w:rPr>
              <w:t>5</w:t>
            </w:r>
          </w:p>
        </w:tc>
        <w:tc>
          <w:tcPr>
            <w:tcW w:type="dxa" w:w="4464"/>
          </w:tcPr>
          <w:p>
            <w:r/>
            <w:r>
              <w:rPr>
                <w:sz w:val="18"/>
              </w:rPr>
              <w:t>Bienes comunes, cuáles son esenciales y cuáles se asignan a sectores, si aplica</w:t>
            </w:r>
          </w:p>
        </w:tc>
        <w:tc>
          <w:tcPr>
            <w:tcW w:type="dxa" w:w="1296"/>
          </w:tcPr>
          <w:p>
            <w:r/>
            <w:r>
              <w:rPr>
                <w:sz w:val="18"/>
              </w:rPr>
              <w:t>Art. 5, num. 5</w:t>
            </w:r>
          </w:p>
        </w:tc>
        <w:tc>
          <w:tcPr>
            <w:tcW w:type="dxa" w:w="1440"/>
          </w:tcPr>
          <w:p>
            <w:r/>
            <w:r>
              <w:rPr>
                <w:sz w:val="18"/>
              </w:rPr>
            </w:r>
          </w:p>
        </w:tc>
        <w:tc>
          <w:tcPr>
            <w:tcW w:type="dxa" w:w="2160"/>
          </w:tcPr>
          <w:p>
            <w:r/>
            <w:r>
              <w:rPr>
                <w:sz w:val="18"/>
              </w:rPr>
            </w:r>
          </w:p>
        </w:tc>
      </w:tr>
      <w:tr>
        <w:tc>
          <w:tcPr>
            <w:tcW w:type="dxa" w:w="432"/>
          </w:tcPr>
          <w:p>
            <w:r/>
            <w:r>
              <w:rPr>
                <w:sz w:val="18"/>
              </w:rPr>
              <w:t>6</w:t>
            </w:r>
          </w:p>
        </w:tc>
        <w:tc>
          <w:tcPr>
            <w:tcW w:type="dxa" w:w="4464"/>
          </w:tcPr>
          <w:p>
            <w:r/>
            <w:r>
              <w:rPr>
                <w:sz w:val="18"/>
              </w:rPr>
              <w:t>Coeficientes de copropiedad y módulos de contribución, según el caso</w:t>
            </w:r>
          </w:p>
        </w:tc>
        <w:tc>
          <w:tcPr>
            <w:tcW w:type="dxa" w:w="1296"/>
          </w:tcPr>
          <w:p>
            <w:r/>
            <w:r>
              <w:rPr>
                <w:sz w:val="18"/>
              </w:rPr>
              <w:t>Art. 5, num. 6 y art. 25</w:t>
            </w:r>
          </w:p>
        </w:tc>
        <w:tc>
          <w:tcPr>
            <w:tcW w:type="dxa" w:w="1440"/>
          </w:tcPr>
          <w:p>
            <w:r/>
            <w:r>
              <w:rPr>
                <w:sz w:val="18"/>
              </w:rPr>
            </w:r>
          </w:p>
        </w:tc>
        <w:tc>
          <w:tcPr>
            <w:tcW w:type="dxa" w:w="2160"/>
          </w:tcPr>
          <w:p>
            <w:r/>
            <w:r>
              <w:rPr>
                <w:sz w:val="18"/>
              </w:rPr>
            </w:r>
          </w:p>
        </w:tc>
      </w:tr>
      <w:tr>
        <w:tc>
          <w:tcPr>
            <w:tcW w:type="dxa" w:w="432"/>
          </w:tcPr>
          <w:p>
            <w:r/>
            <w:r>
              <w:rPr>
                <w:sz w:val="18"/>
              </w:rPr>
              <w:t>7</w:t>
            </w:r>
          </w:p>
        </w:tc>
        <w:tc>
          <w:tcPr>
            <w:tcW w:type="dxa" w:w="4464"/>
          </w:tcPr>
          <w:p>
            <w:r/>
            <w:r>
              <w:rPr>
                <w:sz w:val="18"/>
              </w:rPr>
              <w:t>Destinación de los bienes privados, ajustada a las normas urbanísticas</w:t>
            </w:r>
          </w:p>
        </w:tc>
        <w:tc>
          <w:tcPr>
            <w:tcW w:type="dxa" w:w="1296"/>
          </w:tcPr>
          <w:p>
            <w:r/>
            <w:r>
              <w:rPr>
                <w:sz w:val="18"/>
              </w:rPr>
              <w:t>Art. 5, num. 7</w:t>
            </w:r>
          </w:p>
        </w:tc>
        <w:tc>
          <w:tcPr>
            <w:tcW w:type="dxa" w:w="1440"/>
          </w:tcPr>
          <w:p>
            <w:r/>
            <w:r>
              <w:rPr>
                <w:sz w:val="18"/>
              </w:rPr>
            </w:r>
          </w:p>
        </w:tc>
        <w:tc>
          <w:tcPr>
            <w:tcW w:type="dxa" w:w="2160"/>
          </w:tcPr>
          <w:p>
            <w:r/>
            <w:r>
              <w:rPr>
                <w:sz w:val="18"/>
              </w:rPr>
            </w:r>
          </w:p>
        </w:tc>
      </w:tr>
      <w:tr>
        <w:tc>
          <w:tcPr>
            <w:tcW w:type="dxa" w:w="432"/>
          </w:tcPr>
          <w:p>
            <w:r/>
            <w:r>
              <w:rPr>
                <w:sz w:val="18"/>
              </w:rPr>
              <w:t>8</w:t>
            </w:r>
          </w:p>
        </w:tc>
        <w:tc>
          <w:tcPr>
            <w:tcW w:type="dxa" w:w="4464"/>
          </w:tcPr>
          <w:p>
            <w:r/>
            <w:r>
              <w:rPr>
                <w:sz w:val="18"/>
              </w:rPr>
              <w:t>Especificaciones de construcción y condiciones de seguridad y salubridad</w:t>
            </w:r>
          </w:p>
        </w:tc>
        <w:tc>
          <w:tcPr>
            <w:tcW w:type="dxa" w:w="1296"/>
          </w:tcPr>
          <w:p>
            <w:r/>
            <w:r>
              <w:rPr>
                <w:sz w:val="18"/>
              </w:rPr>
              <w:t>Art. 5, num. 8</w:t>
            </w:r>
          </w:p>
        </w:tc>
        <w:tc>
          <w:tcPr>
            <w:tcW w:type="dxa" w:w="1440"/>
          </w:tcPr>
          <w:p>
            <w:r/>
            <w:r>
              <w:rPr>
                <w:sz w:val="18"/>
              </w:rPr>
            </w:r>
          </w:p>
        </w:tc>
        <w:tc>
          <w:tcPr>
            <w:tcW w:type="dxa" w:w="2160"/>
          </w:tcPr>
          <w:p>
            <w:r/>
            <w:r>
              <w:rPr>
                <w:sz w:val="18"/>
              </w:rPr>
            </w:r>
          </w:p>
        </w:tc>
      </w:tr>
      <w:tr>
        <w:tc>
          <w:tcPr>
            <w:tcW w:type="dxa" w:w="432"/>
          </w:tcPr>
          <w:p>
            <w:r/>
            <w:r>
              <w:rPr>
                <w:sz w:val="18"/>
              </w:rPr>
              <w:t>9</w:t>
            </w:r>
          </w:p>
        </w:tc>
        <w:tc>
          <w:tcPr>
            <w:tcW w:type="dxa" w:w="4464"/>
          </w:tcPr>
          <w:p>
            <w:r/>
            <w:r>
              <w:rPr>
                <w:sz w:val="18"/>
              </w:rPr>
              <w:t>Reglas de administración, dirección y control de la persona jurídica</w:t>
            </w:r>
          </w:p>
        </w:tc>
        <w:tc>
          <w:tcPr>
            <w:tcW w:type="dxa" w:w="1296"/>
          </w:tcPr>
          <w:p>
            <w:r/>
            <w:r>
              <w:rPr>
                <w:sz w:val="18"/>
              </w:rPr>
              <w:t>Art. 5, inciso final</w:t>
            </w:r>
          </w:p>
        </w:tc>
        <w:tc>
          <w:tcPr>
            <w:tcW w:type="dxa" w:w="1440"/>
          </w:tcPr>
          <w:p>
            <w:r/>
            <w:r>
              <w:rPr>
                <w:sz w:val="18"/>
              </w:rPr>
            </w:r>
          </w:p>
        </w:tc>
        <w:tc>
          <w:tcPr>
            <w:tcW w:type="dxa" w:w="2160"/>
          </w:tcPr>
          <w:p>
            <w:r/>
            <w:r>
              <w:rPr>
                <w:sz w:val="18"/>
              </w:rPr>
            </w:r>
          </w:p>
        </w:tc>
      </w:tr>
      <w:tr>
        <w:tc>
          <w:tcPr>
            <w:tcW w:type="dxa" w:w="432"/>
          </w:tcPr>
          <w:p>
            <w:r/>
            <w:r>
              <w:rPr>
                <w:sz w:val="18"/>
              </w:rPr>
              <w:t>10</w:t>
            </w:r>
          </w:p>
        </w:tc>
        <w:tc>
          <w:tcPr>
            <w:tcW w:type="dxa" w:w="4464"/>
          </w:tcPr>
          <w:p>
            <w:r/>
            <w:r>
              <w:rPr>
                <w:sz w:val="18"/>
              </w:rPr>
              <w:t>Reglas de organización y funcionamiento del edificio o conjunto</w:t>
            </w:r>
          </w:p>
        </w:tc>
        <w:tc>
          <w:tcPr>
            <w:tcW w:type="dxa" w:w="1296"/>
          </w:tcPr>
          <w:p>
            <w:r/>
            <w:r>
              <w:rPr>
                <w:sz w:val="18"/>
              </w:rPr>
              <w:t>Art. 5, inciso final</w:t>
            </w:r>
          </w:p>
        </w:tc>
        <w:tc>
          <w:tcPr>
            <w:tcW w:type="dxa" w:w="1440"/>
          </w:tcPr>
          <w:p>
            <w:r/>
            <w:r>
              <w:rPr>
                <w:sz w:val="18"/>
              </w:rPr>
            </w:r>
          </w:p>
        </w:tc>
        <w:tc>
          <w:tcPr>
            <w:tcW w:type="dxa" w:w="2160"/>
          </w:tcPr>
          <w:p>
            <w:r/>
            <w:r>
              <w:rPr>
                <w:sz w:val="18"/>
              </w:rPr>
            </w:r>
          </w:p>
        </w:tc>
      </w:tr>
    </w:tbl>
    <w:p>
      <w:pPr>
        <w:spacing w:after="40"/>
      </w:pPr>
    </w:p>
    <w:p>
      <w:pPr>
        <w:spacing w:after="40"/>
      </w:pPr>
      <w:r>
        <w:rPr>
          <w:b/>
          <w:i w:val="0"/>
          <w:color w:val="4B2E83"/>
          <w:sz w:val="22"/>
        </w:rPr>
        <w:t>3. Lo que la ley manda dejar en el reglamento</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432"/>
          </w:tcPr>
          <w:p>
            <w:r/>
            <w:r>
              <w:rPr>
                <w:b/>
                <w:sz w:val="18"/>
              </w:rPr>
              <w:t>#</w:t>
            </w:r>
          </w:p>
        </w:tc>
        <w:tc>
          <w:tcPr>
            <w:tcW w:type="dxa" w:w="4464"/>
          </w:tcPr>
          <w:p>
            <w:r/>
            <w:r>
              <w:rPr>
                <w:b/>
                <w:sz w:val="18"/>
              </w:rPr>
              <w:t>Qué debe tener</w:t>
            </w:r>
          </w:p>
        </w:tc>
        <w:tc>
          <w:tcPr>
            <w:tcW w:type="dxa" w:w="1296"/>
          </w:tcPr>
          <w:p>
            <w:r/>
            <w:r>
              <w:rPr>
                <w:b/>
                <w:sz w:val="18"/>
              </w:rPr>
              <w:t>Artículo</w:t>
            </w:r>
          </w:p>
        </w:tc>
        <w:tc>
          <w:tcPr>
            <w:tcW w:type="dxa" w:w="1440"/>
          </w:tcPr>
          <w:p>
            <w:r/>
            <w:r>
              <w:rPr>
                <w:b/>
                <w:sz w:val="18"/>
              </w:rPr>
              <w:t>Sí / No / Revisar</w:t>
            </w:r>
          </w:p>
        </w:tc>
        <w:tc>
          <w:tcPr>
            <w:tcW w:type="dxa" w:w="2160"/>
          </w:tcPr>
          <w:p>
            <w:r/>
            <w:r>
              <w:rPr>
                <w:b/>
                <w:sz w:val="18"/>
              </w:rPr>
              <w:t>Dónde está en el reglamento</w:t>
            </w:r>
          </w:p>
        </w:tc>
      </w:tr>
      <w:tr>
        <w:tc>
          <w:tcPr>
            <w:tcW w:type="dxa" w:w="432"/>
          </w:tcPr>
          <w:p>
            <w:r/>
            <w:r>
              <w:rPr>
                <w:sz w:val="18"/>
              </w:rPr>
              <w:t>11</w:t>
            </w:r>
          </w:p>
        </w:tc>
        <w:tc>
          <w:tcPr>
            <w:tcW w:type="dxa" w:w="4464"/>
          </w:tcPr>
          <w:p>
            <w:r/>
            <w:r>
              <w:rPr>
                <w:sz w:val="18"/>
              </w:rPr>
              <w:t>Conductas que se sancionan, la sanción que corresponde a cada una y la duración de la publicación de infractores y de las multas</w:t>
            </w:r>
          </w:p>
        </w:tc>
        <w:tc>
          <w:tcPr>
            <w:tcW w:type="dxa" w:w="1296"/>
          </w:tcPr>
          <w:p>
            <w:r/>
            <w:r>
              <w:rPr>
                <w:sz w:val="18"/>
              </w:rPr>
              <w:t>Art. 60, parágrafo</w:t>
            </w:r>
          </w:p>
        </w:tc>
        <w:tc>
          <w:tcPr>
            <w:tcW w:type="dxa" w:w="1440"/>
          </w:tcPr>
          <w:p>
            <w:r/>
            <w:r>
              <w:rPr>
                <w:sz w:val="18"/>
              </w:rPr>
            </w:r>
          </w:p>
        </w:tc>
        <w:tc>
          <w:tcPr>
            <w:tcW w:type="dxa" w:w="2160"/>
          </w:tcPr>
          <w:p>
            <w:r/>
            <w:r>
              <w:rPr>
                <w:sz w:val="18"/>
              </w:rPr>
            </w:r>
          </w:p>
        </w:tc>
      </w:tr>
      <w:tr>
        <w:tc>
          <w:tcPr>
            <w:tcW w:type="dxa" w:w="432"/>
          </w:tcPr>
          <w:p>
            <w:r/>
            <w:r>
              <w:rPr>
                <w:sz w:val="18"/>
              </w:rPr>
              <w:t>12</w:t>
            </w:r>
          </w:p>
        </w:tc>
        <w:tc>
          <w:tcPr>
            <w:tcW w:type="dxa" w:w="4464"/>
          </w:tcPr>
          <w:p>
            <w:r/>
            <w:r>
              <w:rPr>
                <w:sz w:val="18"/>
              </w:rPr>
              <w:t>Procedimiento para imponer sanciones, con debido proceso, defensa, contradicción e impugnación</w:t>
            </w:r>
          </w:p>
        </w:tc>
        <w:tc>
          <w:tcPr>
            <w:tcW w:type="dxa" w:w="1296"/>
          </w:tcPr>
          <w:p>
            <w:r/>
            <w:r>
              <w:rPr>
                <w:sz w:val="18"/>
              </w:rPr>
              <w:t>Arts. 38 num. 9 y 60</w:t>
            </w:r>
          </w:p>
        </w:tc>
        <w:tc>
          <w:tcPr>
            <w:tcW w:type="dxa" w:w="1440"/>
          </w:tcPr>
          <w:p>
            <w:r/>
            <w:r>
              <w:rPr>
                <w:sz w:val="18"/>
              </w:rPr>
            </w:r>
          </w:p>
        </w:tc>
        <w:tc>
          <w:tcPr>
            <w:tcW w:type="dxa" w:w="2160"/>
          </w:tcPr>
          <w:p>
            <w:r/>
            <w:r>
              <w:rPr>
                <w:sz w:val="18"/>
              </w:rPr>
            </w:r>
          </w:p>
        </w:tc>
      </w:tr>
      <w:tr>
        <w:tc>
          <w:tcPr>
            <w:tcW w:type="dxa" w:w="432"/>
          </w:tcPr>
          <w:p>
            <w:r/>
            <w:r>
              <w:rPr>
                <w:sz w:val="18"/>
              </w:rPr>
              <w:t>13</w:t>
            </w:r>
          </w:p>
        </w:tc>
        <w:tc>
          <w:tcPr>
            <w:tcW w:type="dxa" w:w="4464"/>
          </w:tcPr>
          <w:p>
            <w:r/>
            <w:r>
              <w:rPr>
                <w:sz w:val="18"/>
              </w:rPr>
              <w:t>Si el consejo de administración puede imponer sanciones (la ley exige que el reglamento se lo atribuya)</w:t>
            </w:r>
          </w:p>
        </w:tc>
        <w:tc>
          <w:tcPr>
            <w:tcW w:type="dxa" w:w="1296"/>
          </w:tcPr>
          <w:p>
            <w:r/>
            <w:r>
              <w:rPr>
                <w:sz w:val="18"/>
              </w:rPr>
              <w:t>Art. 60</w:t>
            </w:r>
          </w:p>
        </w:tc>
        <w:tc>
          <w:tcPr>
            <w:tcW w:type="dxa" w:w="1440"/>
          </w:tcPr>
          <w:p>
            <w:r/>
            <w:r>
              <w:rPr>
                <w:sz w:val="18"/>
              </w:rPr>
            </w:r>
          </w:p>
        </w:tc>
        <w:tc>
          <w:tcPr>
            <w:tcW w:type="dxa" w:w="2160"/>
          </w:tcPr>
          <w:p>
            <w:r/>
            <w:r>
              <w:rPr>
                <w:sz w:val="18"/>
              </w:rPr>
            </w:r>
          </w:p>
        </w:tc>
      </w:tr>
      <w:tr>
        <w:tc>
          <w:tcPr>
            <w:tcW w:type="dxa" w:w="432"/>
          </w:tcPr>
          <w:p>
            <w:r/>
            <w:r>
              <w:rPr>
                <w:sz w:val="18"/>
              </w:rPr>
              <w:t>14</w:t>
            </w:r>
          </w:p>
        </w:tc>
        <w:tc>
          <w:tcPr>
            <w:tcW w:type="dxa" w:w="4464"/>
          </w:tcPr>
          <w:p>
            <w:r/>
            <w:r>
              <w:rPr>
                <w:sz w:val="18"/>
              </w:rPr>
              <w:t>Medios para notificar las sanciones a los propietarios</w:t>
            </w:r>
          </w:p>
        </w:tc>
        <w:tc>
          <w:tcPr>
            <w:tcW w:type="dxa" w:w="1296"/>
          </w:tcPr>
          <w:p>
            <w:r/>
            <w:r>
              <w:rPr>
                <w:sz w:val="18"/>
              </w:rPr>
              <w:t>Art. 51, num. 11</w:t>
            </w:r>
          </w:p>
        </w:tc>
        <w:tc>
          <w:tcPr>
            <w:tcW w:type="dxa" w:w="1440"/>
          </w:tcPr>
          <w:p>
            <w:r/>
            <w:r>
              <w:rPr>
                <w:sz w:val="18"/>
              </w:rPr>
            </w:r>
          </w:p>
        </w:tc>
        <w:tc>
          <w:tcPr>
            <w:tcW w:type="dxa" w:w="2160"/>
          </w:tcPr>
          <w:p>
            <w:r/>
            <w:r>
              <w:rPr>
                <w:sz w:val="18"/>
              </w:rPr>
            </w:r>
          </w:p>
        </w:tc>
      </w:tr>
      <w:tr>
        <w:tc>
          <w:tcPr>
            <w:tcW w:type="dxa" w:w="432"/>
          </w:tcPr>
          <w:p>
            <w:r/>
            <w:r>
              <w:rPr>
                <w:sz w:val="18"/>
              </w:rPr>
              <w:t>15</w:t>
            </w:r>
          </w:p>
        </w:tc>
        <w:tc>
          <w:tcPr>
            <w:tcW w:type="dxa" w:w="4464"/>
          </w:tcPr>
          <w:p>
            <w:r/>
            <w:r>
              <w:rPr>
                <w:sz w:val="18"/>
              </w:rPr>
              <w:t>Fecha de la asamblea ordinaria (si no la fija, la ley da una regla supletoria)</w:t>
            </w:r>
          </w:p>
        </w:tc>
        <w:tc>
          <w:tcPr>
            <w:tcW w:type="dxa" w:w="1296"/>
          </w:tcPr>
          <w:p>
            <w:r/>
            <w:r>
              <w:rPr>
                <w:sz w:val="18"/>
              </w:rPr>
              <w:t>Art. 39</w:t>
            </w:r>
          </w:p>
        </w:tc>
        <w:tc>
          <w:tcPr>
            <w:tcW w:type="dxa" w:w="1440"/>
          </w:tcPr>
          <w:p>
            <w:r/>
            <w:r>
              <w:rPr>
                <w:sz w:val="18"/>
              </w:rPr>
            </w:r>
          </w:p>
        </w:tc>
        <w:tc>
          <w:tcPr>
            <w:tcW w:type="dxa" w:w="2160"/>
          </w:tcPr>
          <w:p>
            <w:r/>
            <w:r>
              <w:rPr>
                <w:sz w:val="18"/>
              </w:rPr>
            </w:r>
          </w:p>
        </w:tc>
      </w:tr>
      <w:tr>
        <w:tc>
          <w:tcPr>
            <w:tcW w:type="dxa" w:w="432"/>
          </w:tcPr>
          <w:p>
            <w:r/>
            <w:r>
              <w:rPr>
                <w:sz w:val="18"/>
              </w:rPr>
              <w:t>16</w:t>
            </w:r>
          </w:p>
        </w:tc>
        <w:tc>
          <w:tcPr>
            <w:tcW w:type="dxa" w:w="4464"/>
          </w:tcPr>
          <w:p>
            <w:r/>
            <w:r>
              <w:rPr>
                <w:sz w:val="18"/>
              </w:rPr>
              <w:t>Período del consejo de administración y del revisor fiscal (si no lo fija, es de un año)</w:t>
            </w:r>
          </w:p>
        </w:tc>
        <w:tc>
          <w:tcPr>
            <w:tcW w:type="dxa" w:w="1296"/>
          </w:tcPr>
          <w:p>
            <w:r/>
            <w:r>
              <w:rPr>
                <w:sz w:val="18"/>
              </w:rPr>
              <w:t>Art. 38, num. 5</w:t>
            </w:r>
          </w:p>
        </w:tc>
        <w:tc>
          <w:tcPr>
            <w:tcW w:type="dxa" w:w="1440"/>
          </w:tcPr>
          <w:p>
            <w:r/>
            <w:r>
              <w:rPr>
                <w:sz w:val="18"/>
              </w:rPr>
            </w:r>
          </w:p>
        </w:tc>
        <w:tc>
          <w:tcPr>
            <w:tcW w:type="dxa" w:w="2160"/>
          </w:tcPr>
          <w:p>
            <w:r/>
            <w:r>
              <w:rPr>
                <w:sz w:val="18"/>
              </w:rPr>
            </w:r>
          </w:p>
        </w:tc>
      </w:tr>
      <w:tr>
        <w:tc>
          <w:tcPr>
            <w:tcW w:type="dxa" w:w="432"/>
          </w:tcPr>
          <w:p>
            <w:r/>
            <w:r>
              <w:rPr>
                <w:sz w:val="18"/>
              </w:rPr>
              <w:t>17</w:t>
            </w:r>
          </w:p>
        </w:tc>
        <w:tc>
          <w:tcPr>
            <w:tcW w:type="dxa" w:w="4464"/>
          </w:tcPr>
          <w:p>
            <w:r/>
            <w:r>
              <w:rPr>
                <w:sz w:val="18"/>
              </w:rPr>
              <w:t>Período del administrador</w:t>
            </w:r>
          </w:p>
        </w:tc>
        <w:tc>
          <w:tcPr>
            <w:tcW w:type="dxa" w:w="1296"/>
          </w:tcPr>
          <w:p>
            <w:r/>
            <w:r>
              <w:rPr>
                <w:sz w:val="18"/>
              </w:rPr>
              <w:t>Art. 50</w:t>
            </w:r>
          </w:p>
        </w:tc>
        <w:tc>
          <w:tcPr>
            <w:tcW w:type="dxa" w:w="1440"/>
          </w:tcPr>
          <w:p>
            <w:r/>
            <w:r>
              <w:rPr>
                <w:sz w:val="18"/>
              </w:rPr>
            </w:r>
          </w:p>
        </w:tc>
        <w:tc>
          <w:tcPr>
            <w:tcW w:type="dxa" w:w="2160"/>
          </w:tcPr>
          <w:p>
            <w:r/>
            <w:r>
              <w:rPr>
                <w:sz w:val="18"/>
              </w:rPr>
            </w:r>
          </w:p>
        </w:tc>
      </w:tr>
      <w:tr>
        <w:tc>
          <w:tcPr>
            <w:tcW w:type="dxa" w:w="432"/>
          </w:tcPr>
          <w:p>
            <w:r/>
            <w:r>
              <w:rPr>
                <w:sz w:val="18"/>
              </w:rPr>
              <w:t>18</w:t>
            </w:r>
          </w:p>
        </w:tc>
        <w:tc>
          <w:tcPr>
            <w:tcW w:type="dxa" w:w="4464"/>
          </w:tcPr>
          <w:p>
            <w:r/>
            <w:r>
              <w:rPr>
                <w:sz w:val="18"/>
              </w:rPr>
              <w:t>Consejo de administración: obligatorio en uso comercial o mixto con más de 30 bienes privados sin contar parqueaderos ni depósitos. Potestativo en los demás casos</w:t>
            </w:r>
          </w:p>
        </w:tc>
        <w:tc>
          <w:tcPr>
            <w:tcW w:type="dxa" w:w="1296"/>
          </w:tcPr>
          <w:p>
            <w:r/>
            <w:r>
              <w:rPr>
                <w:sz w:val="18"/>
              </w:rPr>
              <w:t>Art. 53</w:t>
            </w:r>
          </w:p>
        </w:tc>
        <w:tc>
          <w:tcPr>
            <w:tcW w:type="dxa" w:w="1440"/>
          </w:tcPr>
          <w:p>
            <w:r/>
            <w:r>
              <w:rPr>
                <w:sz w:val="18"/>
              </w:rPr>
            </w:r>
          </w:p>
        </w:tc>
        <w:tc>
          <w:tcPr>
            <w:tcW w:type="dxa" w:w="2160"/>
          </w:tcPr>
          <w:p>
            <w:r/>
            <w:r>
              <w:rPr>
                <w:sz w:val="18"/>
              </w:rPr>
            </w:r>
          </w:p>
        </w:tc>
      </w:tr>
      <w:tr>
        <w:tc>
          <w:tcPr>
            <w:tcW w:type="dxa" w:w="432"/>
          </w:tcPr>
          <w:p>
            <w:r/>
            <w:r>
              <w:rPr>
                <w:sz w:val="18"/>
              </w:rPr>
              <w:t>19</w:t>
            </w:r>
          </w:p>
        </w:tc>
        <w:tc>
          <w:tcPr>
            <w:tcW w:type="dxa" w:w="4464"/>
          </w:tcPr>
          <w:p>
            <w:r/>
            <w:r>
              <w:rPr>
                <w:sz w:val="18"/>
              </w:rPr>
              <w:t>Uso comercial o mixto: criterios de ponderación de los coeficientes</w:t>
            </w:r>
          </w:p>
        </w:tc>
        <w:tc>
          <w:tcPr>
            <w:tcW w:type="dxa" w:w="1296"/>
          </w:tcPr>
          <w:p>
            <w:r/>
            <w:r>
              <w:rPr>
                <w:sz w:val="18"/>
              </w:rPr>
              <w:t>Art. 27</w:t>
            </w:r>
          </w:p>
        </w:tc>
        <w:tc>
          <w:tcPr>
            <w:tcW w:type="dxa" w:w="1440"/>
          </w:tcPr>
          <w:p>
            <w:r/>
            <w:r>
              <w:rPr>
                <w:sz w:val="18"/>
              </w:rPr>
            </w:r>
          </w:p>
        </w:tc>
        <w:tc>
          <w:tcPr>
            <w:tcW w:type="dxa" w:w="2160"/>
          </w:tcPr>
          <w:p>
            <w:r/>
            <w:r>
              <w:rPr>
                <w:sz w:val="18"/>
              </w:rPr>
            </w:r>
          </w:p>
        </w:tc>
      </w:tr>
      <w:tr>
        <w:tc>
          <w:tcPr>
            <w:tcW w:type="dxa" w:w="432"/>
          </w:tcPr>
          <w:p>
            <w:r/>
            <w:r>
              <w:rPr>
                <w:sz w:val="18"/>
              </w:rPr>
              <w:t>20</w:t>
            </w:r>
          </w:p>
        </w:tc>
        <w:tc>
          <w:tcPr>
            <w:tcW w:type="dxa" w:w="4464"/>
          </w:tcPr>
          <w:p>
            <w:r/>
            <w:r>
              <w:rPr>
                <w:sz w:val="18"/>
              </w:rPr>
              <w:t>Uso comercial o mixto: sectorización de bienes y servicios comunes que no son de uso general</w:t>
            </w:r>
          </w:p>
        </w:tc>
        <w:tc>
          <w:tcPr>
            <w:tcW w:type="dxa" w:w="1296"/>
          </w:tcPr>
          <w:p>
            <w:r/>
            <w:r>
              <w:rPr>
                <w:sz w:val="18"/>
              </w:rPr>
              <w:t>Art. 31</w:t>
            </w:r>
          </w:p>
        </w:tc>
        <w:tc>
          <w:tcPr>
            <w:tcW w:type="dxa" w:w="1440"/>
          </w:tcPr>
          <w:p>
            <w:r/>
            <w:r>
              <w:rPr>
                <w:sz w:val="18"/>
              </w:rPr>
            </w:r>
          </w:p>
        </w:tc>
        <w:tc>
          <w:tcPr>
            <w:tcW w:type="dxa" w:w="2160"/>
          </w:tcPr>
          <w:p>
            <w:r/>
            <w:r>
              <w:rPr>
                <w:sz w:val="18"/>
              </w:rPr>
            </w:r>
          </w:p>
        </w:tc>
      </w:tr>
    </w:tbl>
    <w:p>
      <w:pPr>
        <w:spacing w:after="40"/>
      </w:pPr>
    </w:p>
    <w:p>
      <w:pPr>
        <w:spacing w:after="40"/>
      </w:pPr>
      <w:r>
        <w:rPr>
          <w:b/>
          <w:i w:val="0"/>
          <w:color w:val="4B2E83"/>
          <w:sz w:val="22"/>
        </w:rPr>
        <w:t>4. Lo que el reglamento no puede tener</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432"/>
          </w:tcPr>
          <w:p>
            <w:r/>
            <w:r>
              <w:rPr>
                <w:b/>
                <w:sz w:val="18"/>
              </w:rPr>
              <w:t>#</w:t>
            </w:r>
          </w:p>
        </w:tc>
        <w:tc>
          <w:tcPr>
            <w:tcW w:type="dxa" w:w="4464"/>
          </w:tcPr>
          <w:p>
            <w:r/>
            <w:r>
              <w:rPr>
                <w:b/>
                <w:sz w:val="18"/>
              </w:rPr>
              <w:t>Revisa que no haya</w:t>
            </w:r>
          </w:p>
        </w:tc>
        <w:tc>
          <w:tcPr>
            <w:tcW w:type="dxa" w:w="1296"/>
          </w:tcPr>
          <w:p>
            <w:r/>
            <w:r>
              <w:rPr>
                <w:b/>
                <w:sz w:val="18"/>
              </w:rPr>
              <w:t>Artículo</w:t>
            </w:r>
          </w:p>
        </w:tc>
        <w:tc>
          <w:tcPr>
            <w:tcW w:type="dxa" w:w="1440"/>
          </w:tcPr>
          <w:p>
            <w:r/>
            <w:r>
              <w:rPr>
                <w:b/>
                <w:sz w:val="18"/>
              </w:rPr>
              <w:t>Sí / No / Revisar</w:t>
            </w:r>
          </w:p>
        </w:tc>
        <w:tc>
          <w:tcPr>
            <w:tcW w:type="dxa" w:w="2160"/>
          </w:tcPr>
          <w:p>
            <w:r/>
            <w:r>
              <w:rPr>
                <w:b/>
                <w:sz w:val="18"/>
              </w:rPr>
              <w:t>Dónde está en el reglamento</w:t>
            </w:r>
          </w:p>
        </w:tc>
      </w:tr>
      <w:tr>
        <w:tc>
          <w:tcPr>
            <w:tcW w:type="dxa" w:w="432"/>
          </w:tcPr>
          <w:p>
            <w:r/>
            <w:r>
              <w:rPr>
                <w:sz w:val="18"/>
              </w:rPr>
              <w:t>21</w:t>
            </w:r>
          </w:p>
        </w:tc>
        <w:tc>
          <w:tcPr>
            <w:tcW w:type="dxa" w:w="4464"/>
          </w:tcPr>
          <w:p>
            <w:r/>
            <w:r>
              <w:rPr>
                <w:sz w:val="18"/>
              </w:rPr>
              <w:t>Normas que vayan contra las normas imperativas de la ley (se entienden no escritas)</w:t>
            </w:r>
          </w:p>
        </w:tc>
        <w:tc>
          <w:tcPr>
            <w:tcW w:type="dxa" w:w="1296"/>
          </w:tcPr>
          <w:p>
            <w:r/>
            <w:r>
              <w:rPr>
                <w:sz w:val="18"/>
              </w:rPr>
              <w:t>Art. 5, parágrafo 1</w:t>
            </w:r>
          </w:p>
        </w:tc>
        <w:tc>
          <w:tcPr>
            <w:tcW w:type="dxa" w:w="1440"/>
          </w:tcPr>
          <w:p>
            <w:r/>
            <w:r>
              <w:rPr>
                <w:sz w:val="18"/>
              </w:rPr>
            </w:r>
          </w:p>
        </w:tc>
        <w:tc>
          <w:tcPr>
            <w:tcW w:type="dxa" w:w="2160"/>
          </w:tcPr>
          <w:p>
            <w:r/>
            <w:r>
              <w:rPr>
                <w:sz w:val="18"/>
              </w:rPr>
            </w:r>
          </w:p>
        </w:tc>
      </w:tr>
      <w:tr>
        <w:tc>
          <w:tcPr>
            <w:tcW w:type="dxa" w:w="432"/>
          </w:tcPr>
          <w:p>
            <w:r/>
            <w:r>
              <w:rPr>
                <w:sz w:val="18"/>
              </w:rPr>
              <w:t>22</w:t>
            </w:r>
          </w:p>
        </w:tc>
        <w:tc>
          <w:tcPr>
            <w:tcW w:type="dxa" w:w="4464"/>
          </w:tcPr>
          <w:p>
            <w:r/>
            <w:r>
              <w:rPr>
                <w:sz w:val="18"/>
              </w:rPr>
              <w:t>Normas que prohíban vender o gravar los bienes privados, o que limiten o prohíban su cesión a cualquier título</w:t>
            </w:r>
          </w:p>
        </w:tc>
        <w:tc>
          <w:tcPr>
            <w:tcW w:type="dxa" w:w="1296"/>
          </w:tcPr>
          <w:p>
            <w:r/>
            <w:r>
              <w:rPr>
                <w:sz w:val="18"/>
              </w:rPr>
              <w:t>Art. 5, parágrafo 4</w:t>
            </w:r>
          </w:p>
        </w:tc>
        <w:tc>
          <w:tcPr>
            <w:tcW w:type="dxa" w:w="1440"/>
          </w:tcPr>
          <w:p>
            <w:r/>
            <w:r>
              <w:rPr>
                <w:sz w:val="18"/>
              </w:rPr>
            </w:r>
          </w:p>
        </w:tc>
        <w:tc>
          <w:tcPr>
            <w:tcW w:type="dxa" w:w="2160"/>
          </w:tcPr>
          <w:p>
            <w:r/>
            <w:r>
              <w:rPr>
                <w:sz w:val="18"/>
              </w:rPr>
            </w:r>
          </w:p>
        </w:tc>
      </w:tr>
      <w:tr>
        <w:tc>
          <w:tcPr>
            <w:tcW w:type="dxa" w:w="432"/>
          </w:tcPr>
          <w:p>
            <w:r/>
            <w:r>
              <w:rPr>
                <w:sz w:val="18"/>
              </w:rPr>
              <w:t>23</w:t>
            </w:r>
          </w:p>
        </w:tc>
        <w:tc>
          <w:tcPr>
            <w:tcW w:type="dxa" w:w="4464"/>
          </w:tcPr>
          <w:p>
            <w:r/>
            <w:r>
              <w:rPr>
                <w:sz w:val="18"/>
              </w:rPr>
              <w:t>Mayorías superiores al 70 % de los coeficientes para cualquier decisión distinta de la extinción de la propiedad horizontal</w:t>
            </w:r>
          </w:p>
        </w:tc>
        <w:tc>
          <w:tcPr>
            <w:tcW w:type="dxa" w:w="1296"/>
          </w:tcPr>
          <w:p>
            <w:r/>
            <w:r>
              <w:rPr>
                <w:sz w:val="18"/>
              </w:rPr>
              <w:t>Art. 45</w:t>
            </w:r>
          </w:p>
        </w:tc>
        <w:tc>
          <w:tcPr>
            <w:tcW w:type="dxa" w:w="1440"/>
          </w:tcPr>
          <w:p>
            <w:r/>
            <w:r>
              <w:rPr>
                <w:sz w:val="18"/>
              </w:rPr>
            </w:r>
          </w:p>
        </w:tc>
        <w:tc>
          <w:tcPr>
            <w:tcW w:type="dxa" w:w="2160"/>
          </w:tcPr>
          <w:p>
            <w:r/>
            <w:r>
              <w:rPr>
                <w:sz w:val="18"/>
              </w:rPr>
            </w:r>
          </w:p>
        </w:tc>
      </w:tr>
      <w:tr>
        <w:tc>
          <w:tcPr>
            <w:tcW w:type="dxa" w:w="432"/>
          </w:tcPr>
          <w:p>
            <w:r/>
            <w:r>
              <w:rPr>
                <w:sz w:val="18"/>
              </w:rPr>
              <w:t>24</w:t>
            </w:r>
          </w:p>
        </w:tc>
        <w:tc>
          <w:tcPr>
            <w:tcW w:type="dxa" w:w="4464"/>
          </w:tcPr>
          <w:p>
            <w:r/>
            <w:r>
              <w:rPr>
                <w:sz w:val="18"/>
              </w:rPr>
              <w:t>Sanciones que restrinjan el uso de bienes comunes esenciales o de uso exclusivo</w:t>
            </w:r>
          </w:p>
        </w:tc>
        <w:tc>
          <w:tcPr>
            <w:tcW w:type="dxa" w:w="1296"/>
          </w:tcPr>
          <w:p>
            <w:r/>
            <w:r>
              <w:rPr>
                <w:sz w:val="18"/>
              </w:rPr>
              <w:t>Art. 59, parágrafo</w:t>
            </w:r>
          </w:p>
        </w:tc>
        <w:tc>
          <w:tcPr>
            <w:tcW w:type="dxa" w:w="1440"/>
          </w:tcPr>
          <w:p>
            <w:r/>
            <w:r>
              <w:rPr>
                <w:sz w:val="18"/>
              </w:rPr>
            </w:r>
          </w:p>
        </w:tc>
        <w:tc>
          <w:tcPr>
            <w:tcW w:type="dxa" w:w="2160"/>
          </w:tcPr>
          <w:p>
            <w:r/>
            <w:r>
              <w:rPr>
                <w:sz w:val="18"/>
              </w:rPr>
            </w:r>
          </w:p>
        </w:tc>
      </w:tr>
    </w:tbl>
    <w:p>
      <w:pPr>
        <w:spacing w:after="40"/>
      </w:pPr>
    </w:p>
    <w:p>
      <w:pPr>
        <w:spacing w:after="40"/>
      </w:pPr>
      <w:r>
        <w:rPr>
          <w:b/>
          <w:i w:val="0"/>
          <w:color w:val="4B2E83"/>
          <w:sz w:val="22"/>
        </w:rPr>
        <w:t>5. Documentos y registro</w:t>
      </w:r>
    </w:p>
    <w:tbl>
      <w:tblPr>
        <w:tblStyle w:val="TableGrid"/>
        <w:tblW w:type="auto" w:w="0"/>
        <w:tblLook w:firstColumn="1" w:firstRow="1" w:lastColumn="0" w:lastRow="0" w:noHBand="0" w:noVBand="1" w:val="04A0"/>
      </w:tblPr>
      <w:tblGrid>
        <w:gridCol w:w="2040"/>
        <w:gridCol w:w="2040"/>
        <w:gridCol w:w="2040"/>
        <w:gridCol w:w="2040"/>
        <w:gridCol w:w="2040"/>
      </w:tblGrid>
      <w:tr>
        <w:tc>
          <w:tcPr>
            <w:tcW w:type="dxa" w:w="432"/>
          </w:tcPr>
          <w:p>
            <w:r/>
            <w:r>
              <w:rPr>
                <w:b/>
                <w:sz w:val="18"/>
              </w:rPr>
              <w:t>#</w:t>
            </w:r>
          </w:p>
        </w:tc>
        <w:tc>
          <w:tcPr>
            <w:tcW w:type="dxa" w:w="4464"/>
          </w:tcPr>
          <w:p>
            <w:r/>
            <w:r>
              <w:rPr>
                <w:b/>
                <w:sz w:val="18"/>
              </w:rPr>
              <w:t>Revisa</w:t>
            </w:r>
          </w:p>
        </w:tc>
        <w:tc>
          <w:tcPr>
            <w:tcW w:type="dxa" w:w="1296"/>
          </w:tcPr>
          <w:p>
            <w:r/>
            <w:r>
              <w:rPr>
                <w:b/>
                <w:sz w:val="18"/>
              </w:rPr>
              <w:t>Artículo</w:t>
            </w:r>
          </w:p>
        </w:tc>
        <w:tc>
          <w:tcPr>
            <w:tcW w:type="dxa" w:w="1440"/>
          </w:tcPr>
          <w:p>
            <w:r/>
            <w:r>
              <w:rPr>
                <w:b/>
                <w:sz w:val="18"/>
              </w:rPr>
              <w:t>Sí / No / Revisar</w:t>
            </w:r>
          </w:p>
        </w:tc>
        <w:tc>
          <w:tcPr>
            <w:tcW w:type="dxa" w:w="2160"/>
          </w:tcPr>
          <w:p>
            <w:r/>
            <w:r>
              <w:rPr>
                <w:b/>
                <w:sz w:val="18"/>
              </w:rPr>
              <w:t>Observaciones</w:t>
            </w:r>
          </w:p>
        </w:tc>
      </w:tr>
      <w:tr>
        <w:tc>
          <w:tcPr>
            <w:tcW w:type="dxa" w:w="432"/>
          </w:tcPr>
          <w:p>
            <w:r/>
            <w:r>
              <w:rPr>
                <w:sz w:val="18"/>
              </w:rPr>
              <w:t>25</w:t>
            </w:r>
          </w:p>
        </w:tc>
        <w:tc>
          <w:tcPr>
            <w:tcW w:type="dxa" w:w="4464"/>
          </w:tcPr>
          <w:p>
            <w:r/>
            <w:r>
              <w:rPr>
                <w:sz w:val="18"/>
              </w:rPr>
              <w:t>La escritura del reglamento está registrada en la Oficina de Registro de Instrumentos Públicos</w:t>
            </w:r>
          </w:p>
        </w:tc>
        <w:tc>
          <w:tcPr>
            <w:tcW w:type="dxa" w:w="1296"/>
          </w:tcPr>
          <w:p>
            <w:r/>
            <w:r>
              <w:rPr>
                <w:sz w:val="18"/>
              </w:rPr>
              <w:t>Art. 4</w:t>
            </w:r>
          </w:p>
        </w:tc>
        <w:tc>
          <w:tcPr>
            <w:tcW w:type="dxa" w:w="1440"/>
          </w:tcPr>
          <w:p>
            <w:r/>
            <w:r>
              <w:rPr>
                <w:sz w:val="18"/>
              </w:rPr>
            </w:r>
          </w:p>
        </w:tc>
        <w:tc>
          <w:tcPr>
            <w:tcW w:type="dxa" w:w="2160"/>
          </w:tcPr>
          <w:p>
            <w:r/>
            <w:r>
              <w:rPr>
                <w:sz w:val="18"/>
              </w:rPr>
            </w:r>
          </w:p>
        </w:tc>
      </w:tr>
      <w:tr>
        <w:tc>
          <w:tcPr>
            <w:tcW w:type="dxa" w:w="432"/>
          </w:tcPr>
          <w:p>
            <w:r/>
            <w:r>
              <w:rPr>
                <w:sz w:val="18"/>
              </w:rPr>
              <w:t>26</w:t>
            </w:r>
          </w:p>
        </w:tc>
        <w:tc>
          <w:tcPr>
            <w:tcW w:type="dxa" w:w="4464"/>
          </w:tcPr>
          <w:p>
            <w:r/>
            <w:r>
              <w:rPr>
                <w:sz w:val="18"/>
              </w:rPr>
              <w:t>Con la escritura se protocolizaron la licencia de construcción y los planos aprobados</w:t>
            </w:r>
          </w:p>
        </w:tc>
        <w:tc>
          <w:tcPr>
            <w:tcW w:type="dxa" w:w="1296"/>
          </w:tcPr>
          <w:p>
            <w:r/>
            <w:r>
              <w:rPr>
                <w:sz w:val="18"/>
              </w:rPr>
              <w:t>Art. 6</w:t>
            </w:r>
          </w:p>
        </w:tc>
        <w:tc>
          <w:tcPr>
            <w:tcW w:type="dxa" w:w="1440"/>
          </w:tcPr>
          <w:p>
            <w:r/>
            <w:r>
              <w:rPr>
                <w:sz w:val="18"/>
              </w:rPr>
            </w:r>
          </w:p>
        </w:tc>
        <w:tc>
          <w:tcPr>
            <w:tcW w:type="dxa" w:w="2160"/>
          </w:tcPr>
          <w:p>
            <w:r/>
            <w:r>
              <w:rPr>
                <w:sz w:val="18"/>
              </w:rPr>
            </w:r>
          </w:p>
        </w:tc>
      </w:tr>
      <w:tr>
        <w:tc>
          <w:tcPr>
            <w:tcW w:type="dxa" w:w="432"/>
          </w:tcPr>
          <w:p>
            <w:r/>
            <w:r>
              <w:rPr>
                <w:sz w:val="18"/>
              </w:rPr>
              <w:t>27</w:t>
            </w:r>
          </w:p>
        </w:tc>
        <w:tc>
          <w:tcPr>
            <w:tcW w:type="dxa" w:w="4464"/>
          </w:tcPr>
          <w:p>
            <w:r/>
            <w:r>
              <w:rPr>
                <w:sz w:val="18"/>
              </w:rPr>
              <w:t>Cada reforma aprobada por la asamblea se elevó a escritura pública y se registró</w:t>
            </w:r>
          </w:p>
        </w:tc>
        <w:tc>
          <w:tcPr>
            <w:tcW w:type="dxa" w:w="1296"/>
          </w:tcPr>
          <w:p>
            <w:r/>
            <w:r>
              <w:rPr>
                <w:sz w:val="18"/>
              </w:rPr>
              <w:t>Arts. 38 num. 6 y 51 num. 9</w:t>
            </w:r>
          </w:p>
        </w:tc>
        <w:tc>
          <w:tcPr>
            <w:tcW w:type="dxa" w:w="1440"/>
          </w:tcPr>
          <w:p>
            <w:r/>
            <w:r>
              <w:rPr>
                <w:sz w:val="18"/>
              </w:rPr>
            </w:r>
          </w:p>
        </w:tc>
        <w:tc>
          <w:tcPr>
            <w:tcW w:type="dxa" w:w="2160"/>
          </w:tcPr>
          <w:p>
            <w:r/>
            <w:r>
              <w:rPr>
                <w:sz w:val="18"/>
              </w:rPr>
            </w:r>
          </w:p>
        </w:tc>
      </w:tr>
      <w:tr>
        <w:tc>
          <w:tcPr>
            <w:tcW w:type="dxa" w:w="432"/>
          </w:tcPr>
          <w:p>
            <w:r/>
            <w:r>
              <w:rPr>
                <w:sz w:val="18"/>
              </w:rPr>
              <w:t>28</w:t>
            </w:r>
          </w:p>
        </w:tc>
        <w:tc>
          <w:tcPr>
            <w:tcW w:type="dxa" w:w="4464"/>
          </w:tcPr>
          <w:p>
            <w:r/>
            <w:r>
              <w:rPr>
                <w:sz w:val="18"/>
              </w:rPr>
              <w:t>La persona jurídica está inscrita ante la alcaldía o la entidad delegada, con el nombramiento y la aceptación del administrador (y del revisor fiscal, si lo hay)</w:t>
            </w:r>
          </w:p>
        </w:tc>
        <w:tc>
          <w:tcPr>
            <w:tcW w:type="dxa" w:w="1296"/>
          </w:tcPr>
          <w:p>
            <w:r/>
            <w:r>
              <w:rPr>
                <w:sz w:val="18"/>
              </w:rPr>
              <w:t>Art. 8</w:t>
            </w:r>
          </w:p>
        </w:tc>
        <w:tc>
          <w:tcPr>
            <w:tcW w:type="dxa" w:w="1440"/>
          </w:tcPr>
          <w:p>
            <w:r/>
            <w:r>
              <w:rPr>
                <w:sz w:val="18"/>
              </w:rPr>
            </w:r>
          </w:p>
        </w:tc>
        <w:tc>
          <w:tcPr>
            <w:tcW w:type="dxa" w:w="2160"/>
          </w:tcPr>
          <w:p>
            <w:r/>
            <w:r>
              <w:rPr>
                <w:sz w:val="18"/>
              </w:rPr>
            </w:r>
          </w:p>
        </w:tc>
      </w:tr>
      <w:tr>
        <w:tc>
          <w:tcPr>
            <w:tcW w:type="dxa" w:w="432"/>
          </w:tcPr>
          <w:p>
            <w:r/>
            <w:r>
              <w:rPr>
                <w:sz w:val="18"/>
              </w:rPr>
              <w:t>29</w:t>
            </w:r>
          </w:p>
        </w:tc>
        <w:tc>
          <w:tcPr>
            <w:tcW w:type="dxa" w:w="4464"/>
          </w:tcPr>
          <w:p>
            <w:r/>
            <w:r>
              <w:rPr>
                <w:sz w:val="18"/>
              </w:rPr>
              <w:t>El certificado de existencia y representación legal muestra al administrador actual</w:t>
            </w:r>
          </w:p>
        </w:tc>
        <w:tc>
          <w:tcPr>
            <w:tcW w:type="dxa" w:w="1296"/>
          </w:tcPr>
          <w:p>
            <w:r/>
            <w:r>
              <w:rPr>
                <w:sz w:val="18"/>
              </w:rPr>
              <w:t>Arts. 8 y 50</w:t>
            </w:r>
          </w:p>
        </w:tc>
        <w:tc>
          <w:tcPr>
            <w:tcW w:type="dxa" w:w="1440"/>
          </w:tcPr>
          <w:p>
            <w:r/>
            <w:r>
              <w:rPr>
                <w:sz w:val="18"/>
              </w:rPr>
            </w:r>
          </w:p>
        </w:tc>
        <w:tc>
          <w:tcPr>
            <w:tcW w:type="dxa" w:w="2160"/>
          </w:tcPr>
          <w:p>
            <w:r/>
            <w:r>
              <w:rPr>
                <w:sz w:val="18"/>
              </w:rPr>
            </w:r>
          </w:p>
        </w:tc>
      </w:tr>
    </w:tbl>
    <w:p>
      <w:pPr>
        <w:spacing w:after="40"/>
      </w:pPr>
    </w:p>
    <w:p>
      <w:pPr>
        <w:spacing w:after="40"/>
      </w:pPr>
      <w:r>
        <w:rPr>
          <w:b/>
          <w:i w:val="0"/>
          <w:color w:val="4B2E83"/>
          <w:sz w:val="22"/>
        </w:rPr>
        <w:t>6. Pendientes que salen de esta revisión</w:t>
      </w:r>
    </w:p>
    <w:tbl>
      <w:tblPr>
        <w:tblStyle w:val="TableGrid"/>
        <w:tblW w:type="auto" w:w="0"/>
        <w:tblLook w:firstColumn="1" w:firstRow="1" w:lastColumn="0" w:lastRow="0" w:noHBand="0" w:noVBand="1" w:val="04A0"/>
      </w:tblPr>
      <w:tblGrid>
        <w:gridCol w:w="3400"/>
        <w:gridCol w:w="3400"/>
        <w:gridCol w:w="3400"/>
      </w:tblGrid>
      <w:tr>
        <w:tc>
          <w:tcPr>
            <w:tcW w:type="dxa" w:w="6048"/>
          </w:tcPr>
          <w:p>
            <w:r/>
            <w:r>
              <w:rPr>
                <w:b/>
                <w:sz w:val="18"/>
              </w:rPr>
              <w:t>Pendiente</w:t>
            </w:r>
          </w:p>
        </w:tc>
        <w:tc>
          <w:tcPr>
            <w:tcW w:type="dxa" w:w="2160"/>
          </w:tcPr>
          <w:p>
            <w:r/>
            <w:r>
              <w:rPr>
                <w:b/>
                <w:sz w:val="18"/>
              </w:rPr>
              <w:t>Responsable</w:t>
            </w:r>
          </w:p>
        </w:tc>
        <w:tc>
          <w:tcPr>
            <w:tcW w:type="dxa" w:w="1584"/>
          </w:tcPr>
          <w:p>
            <w:r/>
            <w:r>
              <w:rPr>
                <w:b/>
                <w:sz w:val="18"/>
              </w:rPr>
              <w:t>Fecha</w:t>
            </w:r>
          </w:p>
        </w:tc>
      </w:tr>
      <w:tr>
        <w:tc>
          <w:tcPr>
            <w:tcW w:type="dxa" w:w="6048"/>
          </w:tcPr>
          <w:p>
            <w:r/>
            <w:r>
              <w:rPr>
                <w:sz w:val="18"/>
              </w:rPr>
            </w:r>
          </w:p>
        </w:tc>
        <w:tc>
          <w:tcPr>
            <w:tcW w:type="dxa" w:w="2160"/>
          </w:tcPr>
          <w:p>
            <w:r/>
            <w:r>
              <w:rPr>
                <w:sz w:val="18"/>
              </w:rPr>
            </w:r>
          </w:p>
        </w:tc>
        <w:tc>
          <w:tcPr>
            <w:tcW w:type="dxa" w:w="1584"/>
          </w:tcPr>
          <w:p>
            <w:r/>
            <w:r>
              <w:rPr>
                <w:sz w:val="18"/>
              </w:rPr>
            </w:r>
          </w:p>
        </w:tc>
      </w:tr>
      <w:tr>
        <w:tc>
          <w:tcPr>
            <w:tcW w:type="dxa" w:w="6048"/>
          </w:tcPr>
          <w:p>
            <w:r/>
            <w:r>
              <w:rPr>
                <w:sz w:val="18"/>
              </w:rPr>
            </w:r>
          </w:p>
        </w:tc>
        <w:tc>
          <w:tcPr>
            <w:tcW w:type="dxa" w:w="2160"/>
          </w:tcPr>
          <w:p>
            <w:r/>
            <w:r>
              <w:rPr>
                <w:sz w:val="18"/>
              </w:rPr>
            </w:r>
          </w:p>
        </w:tc>
        <w:tc>
          <w:tcPr>
            <w:tcW w:type="dxa" w:w="1584"/>
          </w:tcPr>
          <w:p>
            <w:r/>
            <w:r>
              <w:rPr>
                <w:sz w:val="18"/>
              </w:rPr>
            </w:r>
          </w:p>
        </w:tc>
      </w:tr>
      <w:tr>
        <w:tc>
          <w:tcPr>
            <w:tcW w:type="dxa" w:w="6048"/>
          </w:tcPr>
          <w:p>
            <w:r/>
            <w:r>
              <w:rPr>
                <w:sz w:val="18"/>
              </w:rPr>
            </w:r>
          </w:p>
        </w:tc>
        <w:tc>
          <w:tcPr>
            <w:tcW w:type="dxa" w:w="2160"/>
          </w:tcPr>
          <w:p>
            <w:r/>
            <w:r>
              <w:rPr>
                <w:sz w:val="18"/>
              </w:rPr>
            </w:r>
          </w:p>
        </w:tc>
        <w:tc>
          <w:tcPr>
            <w:tcW w:type="dxa" w:w="1584"/>
          </w:tcPr>
          <w:p>
            <w:r/>
            <w:r>
              <w:rPr>
                <w:sz w:val="18"/>
              </w:rPr>
            </w:r>
          </w:p>
        </w:tc>
      </w:tr>
      <w:tr>
        <w:tc>
          <w:tcPr>
            <w:tcW w:type="dxa" w:w="6048"/>
          </w:tcPr>
          <w:p>
            <w:r/>
            <w:r>
              <w:rPr>
                <w:sz w:val="18"/>
              </w:rPr>
            </w:r>
          </w:p>
        </w:tc>
        <w:tc>
          <w:tcPr>
            <w:tcW w:type="dxa" w:w="2160"/>
          </w:tcPr>
          <w:p>
            <w:r/>
            <w:r>
              <w:rPr>
                <w:sz w:val="18"/>
              </w:rPr>
            </w:r>
          </w:p>
        </w:tc>
        <w:tc>
          <w:tcPr>
            <w:tcW w:type="dxa" w:w="1584"/>
          </w:tcPr>
          <w:p>
            <w:r/>
            <w:r>
              <w:rPr>
                <w:sz w:val="18"/>
              </w:rPr>
            </w:r>
          </w:p>
        </w:tc>
      </w:tr>
      <w:tr>
        <w:tc>
          <w:tcPr>
            <w:tcW w:type="dxa" w:w="6048"/>
          </w:tcPr>
          <w:p>
            <w:r/>
            <w:r>
              <w:rPr>
                <w:sz w:val="18"/>
              </w:rPr>
            </w:r>
          </w:p>
        </w:tc>
        <w:tc>
          <w:tcPr>
            <w:tcW w:type="dxa" w:w="2160"/>
          </w:tcPr>
          <w:p>
            <w:r/>
            <w:r>
              <w:rPr>
                <w:sz w:val="18"/>
              </w:rPr>
            </w:r>
          </w:p>
        </w:tc>
        <w:tc>
          <w:tcPr>
            <w:tcW w:type="dxa" w:w="1584"/>
          </w:tcPr>
          <w:p>
            <w:r/>
            <w:r>
              <w:rPr>
                <w:sz w:val="18"/>
              </w:rPr>
            </w:r>
          </w:p>
        </w:tc>
      </w:tr>
    </w:tbl>
    <w:p>
      <w:pPr>
        <w:spacing w:after="40"/>
      </w:pPr>
    </w:p>
    <w:p>
      <w:pPr>
        <w:spacing w:after="80"/>
      </w:pPr>
      <w:r>
        <w:rPr>
          <w:b w:val="0"/>
          <w:i w:val="0"/>
          <w:sz w:val="18"/>
        </w:rPr>
        <w:t>Para reformar el reglamento, la ley pide la aprobación de la asamblea con mayoría calificada del 70 % de los coeficientes de copropiedad (art. 46, num. 5). Esa decisión no se puede tomar en reuniones no presenciales ni en segunda convocatoria, salvo que en esta última se logre esa mayoría (art. 46, parágrafo).</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Formato de Tavelik · www.tavelik.com · uso libre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